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>
          <v:shape id="_x0000_s1026" o:spid="_x0000_s1026" o:spt="136" alt="贵州省创业股权投资协会" type="#_x0000_t136" style="position:absolute;left:0pt;margin-left:-22pt;margin-top:-2.15pt;height:46.8pt;width:460.4pt;z-index:251660288;mso-width-relative:page;mso-height-relative:page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贵州省创业股权投资协会" style="font-family:新宋体;font-size:18pt;v-text-align:center;"/>
          </v:shape>
        </w:pict>
      </w:r>
    </w:p>
    <w:p>
      <w:pPr>
        <w:jc w:val="right"/>
        <w:rPr>
          <w:b/>
          <w:bCs/>
          <w:sz w:val="24"/>
        </w:rPr>
      </w:pPr>
    </w:p>
    <w:p>
      <w:pPr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贵创投协函[2018]0</w:t>
      </w:r>
      <w:r>
        <w:rPr>
          <w:rFonts w:hint="eastAsia" w:ascii="仿宋_GB2312" w:eastAsia="仿宋_GB2312"/>
          <w:sz w:val="28"/>
          <w:lang w:val="en-US" w:eastAsia="zh-CN"/>
        </w:rPr>
        <w:t>15</w:t>
      </w:r>
      <w:r>
        <w:rPr>
          <w:rFonts w:hint="eastAsia" w:ascii="仿宋_GB2312" w:eastAsia="仿宋_GB2312"/>
          <w:sz w:val="28"/>
        </w:rPr>
        <w:t>号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66675</wp:posOffset>
                </wp:positionV>
                <wp:extent cx="5847080" cy="0"/>
                <wp:effectExtent l="0" t="28575" r="508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5.25pt;height:0pt;width:460.4pt;z-index:251661312;mso-width-relative:page;mso-height-relative:page;" stroked="t" coordsize="21600,21600" o:gfxdata="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rONgdUAAAAHAQAADwAAAAAAAAABACAAAAAiAAAA&#10;ZHJzL2Rvd25yZXYueG1sUEsBAhQAFAAAAAgAh07iQPCA1lXRAQAAcgMAAA4AAAAAAAAAAQAgAAAA&#10;JAEAAGRycy9lMm9Eb2MueG1sUEsFBgAAAAAGAAYAWQEAAGcFAAAAAA==&#10;">
                <v:path arrowok="t"/>
                <v:fill focussize="0,0"/>
                <v:stroke weight="4.5pt" color="#FF0000" linestyle="thickThin" joinstyle="miter"/>
                <v:imagedata o:title=""/>
                <o:lock v:ext="edit"/>
              </v:line>
            </w:pict>
          </mc:Fallback>
        </mc:AlternateContent>
      </w:r>
    </w:p>
    <w:p>
      <w:pPr>
        <w:widowControl w:val="0"/>
        <w:adjustRightInd/>
        <w:snapToGrid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  <w:lang w:eastAsia="zh-CN"/>
        </w:rPr>
        <w:t>组织已投及拟投项目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</w:rPr>
        <w:t>参加第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</w:rPr>
        <w:t>届中国贵州人才博览会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</w:rPr>
        <w:t>”高层次人才+项目”路演活动的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  <w:lang w:eastAsia="zh-CN"/>
        </w:rPr>
        <w:t>第一轮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</w:rPr>
        <w:t>通知</w:t>
      </w:r>
    </w:p>
    <w:p>
      <w:pPr>
        <w:spacing w:after="0" w:line="600" w:lineRule="exact"/>
      </w:pPr>
    </w:p>
    <w:p>
      <w:pPr>
        <w:spacing w:after="0"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各会员单位及业务相关单位：</w:t>
      </w:r>
    </w:p>
    <w:p>
      <w:pPr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年3月，由省委省政府主办的第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届中国贵州人才博览会将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贵阳国际会议展览中心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召开。按照人博会</w:t>
      </w:r>
      <w:r>
        <w:rPr>
          <w:rFonts w:hint="eastAsia" w:ascii="仿宋_GB2312" w:hAnsi="仿宋_GB2312" w:eastAsia="仿宋_GB2312" w:cs="仿宋_GB2312"/>
          <w:sz w:val="28"/>
          <w:szCs w:val="28"/>
        </w:rPr>
        <w:t>组委会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部署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协会继续承办</w:t>
      </w:r>
      <w:r>
        <w:rPr>
          <w:rFonts w:hint="eastAsia" w:ascii="仿宋_GB2312" w:hAnsi="仿宋_GB2312" w:eastAsia="仿宋_GB2312" w:cs="仿宋_GB2312"/>
          <w:sz w:val="28"/>
          <w:szCs w:val="28"/>
        </w:rPr>
        <w:t>“高层次人才+项目”路演活动，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并邀请</w:t>
      </w:r>
      <w:r>
        <w:rPr>
          <w:rFonts w:hint="eastAsia" w:ascii="仿宋_GB2312" w:hAnsi="仿宋_GB2312" w:eastAsia="仿宋_GB2312" w:cs="仿宋_GB2312"/>
          <w:sz w:val="28"/>
          <w:szCs w:val="28"/>
        </w:rPr>
        <w:t>各会员单位及业务相关单位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组织已投及拟投项目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路演，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有关事项通知如下：</w:t>
      </w:r>
    </w:p>
    <w:p>
      <w:pPr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一、各单位对照《关于印发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贵州省“百人领军人才”“千人创新创业人才”评审认定与跟踪考核实施细则（试行）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的通知》（http://www.zggzrc.gov.cn/gzdt1/678.jhtml），对含有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人选的已投及拟投项目进行梳理，发动参加本次</w:t>
      </w:r>
      <w:r>
        <w:rPr>
          <w:rFonts w:hint="eastAsia" w:ascii="仿宋_GB2312" w:hAnsi="仿宋_GB2312" w:eastAsia="仿宋_GB2312" w:cs="仿宋_GB2312"/>
          <w:sz w:val="28"/>
          <w:szCs w:val="28"/>
        </w:rPr>
        <w:t>路演活动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人选纳入我省高层次人才体系，最高可获取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连续三年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100万元的资金奖励，并可获取多项人才服务。</w:t>
      </w:r>
    </w:p>
    <w:p>
      <w:pPr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二、本次路演活动是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人博会</w:t>
      </w:r>
      <w:r>
        <w:rPr>
          <w:rFonts w:hint="eastAsia" w:ascii="仿宋_GB2312" w:hAnsi="仿宋_GB2312" w:eastAsia="仿宋_GB2312" w:cs="仿宋_GB2312"/>
          <w:sz w:val="28"/>
          <w:szCs w:val="28"/>
        </w:rPr>
        <w:t>组委会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搭建的“百人领军人才”、“千人创新创业人才”评审认定的快速通道，各单位应高度重视、大力支持，提供增值服务，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已投及拟投项目的持续发展及其高层次人才的评审认定。</w:t>
      </w:r>
    </w:p>
    <w:p>
      <w:pPr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会员单位及业务相关单位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中含有《实施细则》中的“现代金融”人才，也可报名参与“百千人才”的快速评审认定（不参加路演）。</w:t>
      </w:r>
    </w:p>
    <w:p>
      <w:pPr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四、具体路演方案等细节将进行下一轮通知。</w:t>
      </w:r>
    </w:p>
    <w:p>
      <w:pPr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各单位对已投及拟投项目进行沟通，由项目方填写《报名表》，并于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2019年1月31日前反馈至协会。</w:t>
      </w:r>
    </w:p>
    <w:p>
      <w:pPr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联系人：余晓燏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手机：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15519099690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电话：0851-85281869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邮箱：gzscygqtzxh@163.com</w:t>
      </w: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附件：第七届中国贵州人才博览会高层次人才项目征集表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贵州省创业股权投资协会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2018年1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  <w:lang w:eastAsia="zh-CN"/>
        </w:rPr>
        <w:t>七</w:t>
      </w:r>
      <w:r>
        <w:rPr>
          <w:rFonts w:hint="eastAsia"/>
          <w:b/>
          <w:bCs/>
          <w:sz w:val="30"/>
          <w:szCs w:val="30"/>
        </w:rPr>
        <w:t>届中国贵州人才博览会高层次人才项目征集表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70"/>
        <w:gridCol w:w="624"/>
        <w:gridCol w:w="3012"/>
        <w:gridCol w:w="1248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4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4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高层次人才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中文名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英文名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4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国籍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护照号</w:t>
            </w:r>
          </w:p>
        </w:tc>
        <w:tc>
          <w:tcPr>
            <w:tcW w:w="24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2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最高学历毕业院校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专业方向</w:t>
            </w:r>
          </w:p>
        </w:tc>
        <w:tc>
          <w:tcPr>
            <w:tcW w:w="24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2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24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2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职称/项目职务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拟申请人才计划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 xml:space="preserve">□百人领军人才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 xml:space="preserve">□千人创新创业人才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项目基本信息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(可多选)</w:t>
            </w:r>
          </w:p>
        </w:tc>
        <w:tc>
          <w:tcPr>
            <w:tcW w:w="67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 xml:space="preserve">□大数据     □大健康    □现代农业   □文化旅游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□其它（请具体写出）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23" w:type="dxa"/>
            <w:vMerge w:val="continue"/>
            <w:tcBorders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技术专利注册情况</w:t>
            </w:r>
          </w:p>
        </w:tc>
        <w:tc>
          <w:tcPr>
            <w:tcW w:w="6705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○完成注册，注册国家：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，专利号：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○正在申请，申请国家：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，受理号：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 xml:space="preserve">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right="-4" w:rightChars="-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○没有专利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23" w:type="dxa"/>
            <w:vMerge w:val="continue"/>
            <w:tcBorders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投融资情况</w:t>
            </w:r>
          </w:p>
        </w:tc>
        <w:tc>
          <w:tcPr>
            <w:tcW w:w="6705" w:type="dxa"/>
            <w:gridSpan w:val="3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right="-4" w:rightChars="-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总投资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万元；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已完成投资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万元。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已取得VC/PE投资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right="-4" w:rightChars="-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万元；主要投资机构包括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right="-4" w:rightChars="-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 w:bidi="ar-SA"/>
              </w:rPr>
              <w:t>拟新增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VC/PE投资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5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项目简介</w:t>
            </w:r>
          </w:p>
        </w:tc>
        <w:tc>
          <w:tcPr>
            <w:tcW w:w="7999" w:type="dxa"/>
            <w:gridSpan w:val="5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-2" w:rightChars="-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（简要说明项目特点、主要技术指标、技术成熟度、产业化现状和市场前景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、目前状况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，请另加页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。如有项目介绍详细资料或商业计划书，可作为附件报送）。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-2" w:rightChars="-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-2" w:rightChars="-1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声明</w:t>
            </w:r>
          </w:p>
        </w:tc>
        <w:tc>
          <w:tcPr>
            <w:tcW w:w="7999" w:type="dxa"/>
            <w:gridSpan w:val="5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2" w:rightChars="-1" w:firstLine="480" w:firstLineChars="200"/>
              <w:jc w:val="both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承诺，以上所填信息均真实、完整、准确。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如有虚假陈述，愿意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承担相应后果。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240" w:lineRule="auto"/>
              <w:ind w:right="56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right="-4" w:rightChars="-2"/>
              <w:jc w:val="both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577E"/>
    <w:rsid w:val="09EF7EBB"/>
    <w:rsid w:val="2F712474"/>
    <w:rsid w:val="630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2018-12-22T17:59:00Z</dcterms:created>
  <dc:creator>Administrator</dc:creator>
  <cp:lastModifiedBy>Administrator</cp:lastModifiedBy>
  <dcterms:modified xsi:type="dcterms:W3CDTF">2018-12-23T06:05:17Z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